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right="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 Нефтеюганск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Агзямова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Акрамова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Рустамжона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Авазжон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угли, </w:t>
      </w:r>
      <w:r>
        <w:rPr>
          <w:rStyle w:val="cat-ExternalSystemDefinedgrp-46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работающего,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48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водительское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удостоверение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ExternalSystemDefinedgrp-4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7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Акрамов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02.01.2025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на 70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района, Х</w:t>
      </w:r>
      <w:r>
        <w:rPr>
          <w:rFonts w:ascii="Times New Roman" w:eastAsia="Times New Roman" w:hAnsi="Times New Roman" w:cs="Times New Roman"/>
          <w:sz w:val="27"/>
          <w:szCs w:val="27"/>
        </w:rPr>
        <w:t>МАО-Югр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Форд Фокус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2rplc-1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оверш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обгон </w:t>
      </w:r>
      <w:r>
        <w:rPr>
          <w:rFonts w:ascii="Times New Roman" w:eastAsia="Times New Roman" w:hAnsi="Times New Roman" w:cs="Times New Roman"/>
          <w:sz w:val="27"/>
          <w:szCs w:val="27"/>
        </w:rPr>
        <w:t>легкового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здом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полосу дороги, предназначенную для встречного </w:t>
      </w:r>
      <w:r>
        <w:rPr>
          <w:rFonts w:ascii="Times New Roman" w:eastAsia="Times New Roman" w:hAnsi="Times New Roman" w:cs="Times New Roman"/>
          <w:sz w:val="27"/>
          <w:szCs w:val="27"/>
        </w:rPr>
        <w:t>движения,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зоне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1.3 </w:t>
      </w:r>
      <w:r>
        <w:rPr>
          <w:rFonts w:ascii="Times New Roman" w:eastAsia="Times New Roman" w:hAnsi="Times New Roman" w:cs="Times New Roman"/>
          <w:sz w:val="27"/>
          <w:szCs w:val="27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Акрамов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поступало, об уважительности причин неявки суду не сообщил.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Акрамова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его отсутствие.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Акрамова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49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02.01.2025</w:t>
      </w:r>
      <w:r>
        <w:rPr>
          <w:rFonts w:ascii="Times New Roman" w:eastAsia="Times New Roman" w:hAnsi="Times New Roman" w:cs="Times New Roman"/>
          <w:sz w:val="27"/>
          <w:szCs w:val="27"/>
        </w:rPr>
        <w:t>, из которого следует, что права и обязанности, предусмотренные 25.1 КоАП РФ и ст. 51 Конституции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Акрамову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Акрамов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02.01.2025 в 08:37, на 704 км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района, ХМАО-Югры,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управляя транспортным средством Форд Фокус, </w:t>
      </w:r>
      <w:r>
        <w:rPr>
          <w:rStyle w:val="cat-CarNumbergrp-32rplc-3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совершил обгон легкового транспортного средства, с выездом на полосу дороги,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схемой места совершения административного правонарушения, из которой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Акрамов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02.01.2025 в 08:37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 704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района, 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Форд Фокус, </w:t>
      </w:r>
      <w:r>
        <w:rPr>
          <w:rStyle w:val="cat-CarNumbergrp-32rplc-3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легкового </w:t>
      </w:r>
      <w:r>
        <w:rPr>
          <w:rFonts w:ascii="Times New Roman" w:eastAsia="Times New Roman" w:hAnsi="Times New Roman" w:cs="Times New Roman"/>
          <w:sz w:val="27"/>
          <w:szCs w:val="27"/>
        </w:rPr>
        <w:t>тра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нспортного средства, с </w:t>
      </w:r>
      <w:r>
        <w:rPr>
          <w:rFonts w:ascii="Times New Roman" w:eastAsia="Times New Roman" w:hAnsi="Times New Roman" w:cs="Times New Roman"/>
          <w:sz w:val="27"/>
          <w:szCs w:val="27"/>
        </w:rPr>
        <w:t>выездом на полосу дороги,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Акрамов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схемой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ознакомлен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рапортом ст. инспектора ДПС взвода №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роты №2 ОБ ДПС </w:t>
      </w:r>
      <w:r>
        <w:rPr>
          <w:rStyle w:val="cat-ExternalSystemDefinedgrp-44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02.01.2025 в 08:37, на 704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района, </w:t>
      </w:r>
      <w:r>
        <w:rPr>
          <w:rFonts w:ascii="Times New Roman" w:eastAsia="Times New Roman" w:hAnsi="Times New Roman" w:cs="Times New Roman"/>
          <w:sz w:val="27"/>
          <w:szCs w:val="27"/>
        </w:rPr>
        <w:t>Акрамов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Форд Фокус, </w:t>
      </w:r>
      <w:r>
        <w:rPr>
          <w:rStyle w:val="cat-CarNumbergrp-32rplc-44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легкового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 средства, с выездом на полосу дороги, предназначенную для встречного движения, в зоне действия дорожного знака 3.20 «Обгон запрещен»;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водительского удостоверения;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7"/>
          <w:szCs w:val="27"/>
        </w:rPr>
        <w:t>и разметки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 которой следует, что на данном участке автодороги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распространяется действие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реестром правонарушений;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видеозаписью фиксации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подтверждается 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Акрамов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при обстоятельствах, указанных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постановлением Пленума Верховного Суда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</w:t>
      </w:r>
      <w:r>
        <w:rPr>
          <w:rFonts w:ascii="Times New Roman" w:eastAsia="Times New Roman" w:hAnsi="Times New Roman" w:cs="Times New Roman"/>
          <w:sz w:val="27"/>
          <w:szCs w:val="27"/>
        </w:rPr>
        <w:t>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Акрамовым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при совершении обгона требований дорожного знака 3.20, в совокупности с выездом на полосу дороги, предназначенную для встречного движения, 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Акрамова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4 ст.12.15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>не находит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7"/>
          <w:szCs w:val="27"/>
        </w:rPr>
        <w:t>Акрамов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Акрамова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Рустамжона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Авазжон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угли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семь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пятьсот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30rplc-5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ХМАО-Югре г. Ханты-Мансийск БИК 007162163 ОКТМО 7187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000 ИНН 8601010390 КПП 860101001, Кор./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 КБК 188 116 01123 01 0001 140 УИН 188104862</w:t>
      </w:r>
      <w:r>
        <w:rPr>
          <w:rFonts w:ascii="Times New Roman" w:eastAsia="Times New Roman" w:hAnsi="Times New Roman" w:cs="Times New Roman"/>
          <w:sz w:val="27"/>
          <w:szCs w:val="27"/>
        </w:rPr>
        <w:t>50910000157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дней </w:t>
      </w:r>
      <w:r>
        <w:rPr>
          <w:rFonts w:ascii="Times New Roman" w:eastAsia="Times New Roman" w:hAnsi="Times New Roman" w:cs="Times New Roman"/>
          <w:sz w:val="27"/>
          <w:szCs w:val="27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7"/>
          <w:szCs w:val="27"/>
        </w:rPr>
      </w:pPr>
    </w:p>
    <w:p>
      <w:pPr>
        <w:tabs>
          <w:tab w:val="left" w:pos="6495"/>
        </w:tabs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tbl>
      <w:tblPr>
        <w:tblW w:w="10456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9"/>
        <w:gridCol w:w="5787"/>
      </w:tblGrid>
      <w:tr>
        <w:tblPrEx>
          <w:tblW w:w="10456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8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48rplc-8">
    <w:name w:val="cat-UserDefined grp-48 rplc-8"/>
    <w:basedOn w:val="DefaultParagraphFont"/>
  </w:style>
  <w:style w:type="character" w:customStyle="1" w:styleId="cat-ExternalSystemDefinedgrp-45rplc-10">
    <w:name w:val="cat-ExternalSystemDefined grp-45 rplc-10"/>
    <w:basedOn w:val="DefaultParagraphFont"/>
  </w:style>
  <w:style w:type="character" w:customStyle="1" w:styleId="cat-ExternalSystemDefinedgrp-47rplc-12">
    <w:name w:val="cat-ExternalSystemDefined grp-47 rplc-12"/>
    <w:basedOn w:val="DefaultParagraphFont"/>
  </w:style>
  <w:style w:type="character" w:customStyle="1" w:styleId="cat-CarNumbergrp-32rplc-17">
    <w:name w:val="cat-CarNumber grp-32 rplc-17"/>
    <w:basedOn w:val="DefaultParagraphFont"/>
  </w:style>
  <w:style w:type="character" w:customStyle="1" w:styleId="cat-UserDefinedgrp-49rplc-24">
    <w:name w:val="cat-UserDefined grp-49 rplc-24"/>
    <w:basedOn w:val="DefaultParagraphFont"/>
  </w:style>
  <w:style w:type="character" w:customStyle="1" w:styleId="cat-CarNumbergrp-32rplc-31">
    <w:name w:val="cat-CarNumber grp-32 rplc-31"/>
    <w:basedOn w:val="DefaultParagraphFont"/>
  </w:style>
  <w:style w:type="character" w:customStyle="1" w:styleId="cat-CarNumbergrp-32rplc-37">
    <w:name w:val="cat-CarNumber grp-32 rplc-37"/>
    <w:basedOn w:val="DefaultParagraphFont"/>
  </w:style>
  <w:style w:type="character" w:customStyle="1" w:styleId="cat-ExternalSystemDefinedgrp-44rplc-39">
    <w:name w:val="cat-ExternalSystemDefined grp-44 rplc-39"/>
    <w:basedOn w:val="DefaultParagraphFont"/>
  </w:style>
  <w:style w:type="character" w:customStyle="1" w:styleId="cat-CarNumbergrp-32rplc-44">
    <w:name w:val="cat-CarNumber grp-32 rplc-44"/>
    <w:basedOn w:val="DefaultParagraphFont"/>
  </w:style>
  <w:style w:type="character" w:customStyle="1" w:styleId="cat-OrganizationNamegrp-30rplc-53">
    <w:name w:val="cat-OrganizationName grp-30 rplc-53"/>
    <w:basedOn w:val="DefaultParagraphFont"/>
  </w:style>
  <w:style w:type="character" w:customStyle="1" w:styleId="cat-UserDefinedgrp-50rplc-61">
    <w:name w:val="cat-UserDefined grp-50 rplc-61"/>
    <w:basedOn w:val="DefaultParagraphFont"/>
  </w:style>
  <w:style w:type="character" w:customStyle="1" w:styleId="cat-UserDefinedgrp-51rplc-64">
    <w:name w:val="cat-UserDefined grp-51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